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774AB5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山东大学政府计划类科研平台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774AB5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科研平台</w:t>
      </w: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类型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8947A9" w:rsidRPr="00D21349" w:rsidRDefault="00774AB5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科研平台</w:t>
      </w:r>
      <w:r w:rsidR="008947A9" w:rsidRPr="00D21349"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8947A9" w:rsidRPr="00D21349" w:rsidRDefault="00774AB5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科研平台</w:t>
      </w:r>
      <w:r w:rsidR="00912C74">
        <w:rPr>
          <w:rFonts w:ascii="Times New Roman" w:eastAsia="楷体_GB2312" w:hAnsi="Times New Roman" w:cs="Times New Roman" w:hint="eastAsia"/>
          <w:b/>
          <w:sz w:val="28"/>
          <w:szCs w:val="24"/>
        </w:rPr>
        <w:t>负责人</w:t>
      </w:r>
      <w:r w:rsidR="008947A9"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8947A9" w:rsidRPr="00D21349" w:rsidRDefault="00774AB5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科研平台</w:t>
      </w:r>
      <w:r w:rsidR="008947A9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8947A9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8947A9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912C74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依托学院（研究院、部、所等）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6611FE" w:rsidRPr="00D21349" w:rsidRDefault="00912C74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/>
          <w:b/>
          <w:sz w:val="28"/>
          <w:szCs w:val="24"/>
        </w:rPr>
        <w:t>依托学院（研究院、部、所等）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6611FE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391031">
      <w:pPr>
        <w:adjustRightInd w:val="0"/>
        <w:snapToGrid w:val="0"/>
        <w:spacing w:afterLines="10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912C74">
        <w:rPr>
          <w:rFonts w:ascii="Times New Roman" w:eastAsia="仿宋_GB2312" w:hAnsi="Times New Roman" w:cs="Times New Roman"/>
          <w:sz w:val="26"/>
          <w:szCs w:val="26"/>
        </w:rPr>
        <w:t>依托学</w:t>
      </w:r>
      <w:r w:rsidR="00912C74">
        <w:rPr>
          <w:rFonts w:ascii="宋体" w:eastAsia="宋体" w:hAnsi="宋体" w:cs="宋体" w:hint="eastAsia"/>
          <w:sz w:val="26"/>
          <w:szCs w:val="26"/>
        </w:rPr>
        <w:t>院</w:t>
      </w:r>
      <w:r w:rsidR="00912C74">
        <w:rPr>
          <w:rFonts w:ascii="___WRD_EMBED_SUB_38" w:eastAsia="___WRD_EMBED_SUB_38" w:hAnsi="___WRD_EMBED_SUB_38" w:cs="___WRD_EMBED_SUB_38" w:hint="eastAsia"/>
          <w:sz w:val="26"/>
          <w:szCs w:val="26"/>
        </w:rPr>
        <w:t>（研究</w:t>
      </w:r>
      <w:r w:rsidR="00912C74">
        <w:rPr>
          <w:rFonts w:ascii="宋体" w:eastAsia="宋体" w:hAnsi="宋体" w:cs="宋体" w:hint="eastAsia"/>
          <w:sz w:val="26"/>
          <w:szCs w:val="26"/>
        </w:rPr>
        <w:t>院</w:t>
      </w:r>
      <w:r w:rsidR="00912C74">
        <w:rPr>
          <w:rFonts w:ascii="___WRD_EMBED_SUB_38" w:eastAsia="___WRD_EMBED_SUB_38" w:hAnsi="___WRD_EMBED_SUB_38" w:cs="___WRD_EMBED_SUB_38" w:hint="eastAsia"/>
          <w:sz w:val="26"/>
          <w:szCs w:val="26"/>
        </w:rPr>
        <w:t>、部、</w:t>
      </w:r>
      <w:r w:rsidR="00912C74">
        <w:rPr>
          <w:rFonts w:ascii="宋体" w:eastAsia="宋体" w:hAnsi="宋体" w:cs="宋体" w:hint="eastAsia"/>
          <w:sz w:val="26"/>
          <w:szCs w:val="26"/>
        </w:rPr>
        <w:t>所</w:t>
      </w:r>
      <w:r w:rsidR="00912C74">
        <w:rPr>
          <w:rFonts w:ascii="___WRD_EMBED_SUB_38" w:eastAsia="___WRD_EMBED_SUB_38" w:hAnsi="___WRD_EMBED_SUB_38" w:cs="___WRD_EMBED_SUB_38" w:hint="eastAsia"/>
          <w:sz w:val="26"/>
          <w:szCs w:val="26"/>
        </w:rPr>
        <w:t>等）</w:t>
      </w:r>
      <w:r w:rsidR="00912C74">
        <w:rPr>
          <w:rFonts w:ascii="宋体" w:eastAsia="宋体" w:hAnsi="宋体" w:cs="宋体" w:hint="eastAsia"/>
          <w:sz w:val="26"/>
          <w:szCs w:val="26"/>
        </w:rPr>
        <w:t>审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网站公开。</w:t>
      </w:r>
    </w:p>
    <w:p w:rsidR="00AC62ED" w:rsidRPr="007748B7" w:rsidRDefault="00A46BDE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人员在</w:t>
      </w:r>
      <w:proofErr w:type="gramStart"/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本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proofErr w:type="gramEnd"/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完成的重大科研成果，以及通过国内外合作研究取得的重要成果。其中：</w:t>
      </w:r>
    </w:p>
    <w:p w:rsidR="00AC62ED" w:rsidRPr="007748B7" w:rsidRDefault="00AC62ED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</w:t>
      </w:r>
      <w:bookmarkStart w:id="0" w:name="_GoBack"/>
      <w:bookmarkEnd w:id="0"/>
      <w:r w:rsidRPr="007748B7">
        <w:rPr>
          <w:rFonts w:ascii="Times New Roman" w:eastAsia="仿宋_GB2312" w:hAnsi="Times New Roman" w:cs="Times New Roman"/>
          <w:sz w:val="26"/>
          <w:szCs w:val="26"/>
        </w:rPr>
        <w:t>有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912C74">
        <w:rPr>
          <w:rFonts w:ascii="宋体" w:eastAsia="宋体" w:hAnsi="宋体" w:cs="宋体" w:hint="eastAsia"/>
          <w:sz w:val="26"/>
          <w:szCs w:val="26"/>
        </w:rPr>
        <w:t>或山东大学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。专著指正式出版的学术著作，不包括译著、论文集等。未正式发表的论文、专著不得统计。</w:t>
      </w:r>
    </w:p>
    <w:p w:rsidR="008841D3" w:rsidRPr="007748B7" w:rsidRDefault="008841D3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级奖指部委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奖相应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</w:t>
      </w:r>
      <w:proofErr w:type="gramStart"/>
      <w:r w:rsidR="00774AB5">
        <w:rPr>
          <w:rFonts w:ascii="Times New Roman" w:eastAsia="仿宋_GB2312" w:hAnsi="Times New Roman" w:cs="Times New Roman"/>
          <w:sz w:val="26"/>
          <w:szCs w:val="26"/>
        </w:rPr>
        <w:t>研</w:t>
      </w:r>
      <w:proofErr w:type="gramEnd"/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实际到账的研究经费、运行补助费和设备更新费</w:t>
      </w:r>
      <w:r w:rsidR="00912C74">
        <w:rPr>
          <w:rFonts w:ascii="Times New Roman" w:eastAsia="仿宋_GB2312" w:hAnsi="Times New Roman" w:cs="Times New Roman" w:hint="eastAsia"/>
          <w:sz w:val="26"/>
          <w:szCs w:val="26"/>
        </w:rPr>
        <w:t>等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8841D3" w:rsidRPr="007748B7" w:rsidRDefault="004D1496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</w:t>
      </w:r>
      <w:proofErr w:type="gramStart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均统计</w:t>
      </w:r>
      <w:proofErr w:type="gramEnd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相关类型人员总数</w:t>
      </w:r>
      <w:r w:rsidR="00391031">
        <w:rPr>
          <w:rFonts w:ascii="Times New Roman" w:eastAsia="仿宋_GB2312" w:hAnsi="Times New Roman" w:cs="Times New Roman"/>
          <w:sz w:val="26"/>
          <w:szCs w:val="26"/>
        </w:rPr>
        <w:t>。固定人员指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391031" w:rsidRDefault="000E5031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 w:hint="eastAsia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</w:t>
      </w:r>
      <w:r w:rsidR="00774AB5">
        <w:rPr>
          <w:rFonts w:ascii="Times New Roman" w:eastAsia="仿宋_GB2312" w:hAnsi="Times New Roman" w:cs="Times New Roman"/>
          <w:sz w:val="26"/>
          <w:szCs w:val="26"/>
        </w:rPr>
        <w:t>科研</w:t>
      </w:r>
      <w:r w:rsidR="00774AB5">
        <w:rPr>
          <w:rFonts w:ascii="宋体" w:eastAsia="宋体" w:hAnsi="宋体" w:cs="宋体" w:hint="eastAsia"/>
          <w:sz w:val="26"/>
          <w:szCs w:val="26"/>
        </w:rPr>
        <w:t>平台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</w:p>
    <w:p w:rsidR="00D21349" w:rsidRPr="007748B7" w:rsidRDefault="00391031" w:rsidP="00391031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>
        <w:rPr>
          <w:rFonts w:ascii="Times New Roman" w:eastAsia="仿宋_GB2312" w:hAnsi="Times New Roman" w:cs="Times New Roman" w:hint="eastAsia"/>
          <w:sz w:val="26"/>
          <w:szCs w:val="26"/>
        </w:rPr>
        <w:lastRenderedPageBreak/>
        <w:t>3.</w:t>
      </w:r>
      <w:r w:rsidRPr="00391031">
        <w:rPr>
          <w:rFonts w:ascii="Times New Roman" w:eastAsia="仿宋_GB2312" w:hAnsi="Times New Roman" w:cs="Times New Roman" w:hint="eastAsia"/>
          <w:b/>
          <w:sz w:val="26"/>
          <w:szCs w:val="26"/>
        </w:rPr>
        <w:t>自主学术活动</w:t>
      </w:r>
      <w:r>
        <w:rPr>
          <w:rFonts w:ascii="Times New Roman" w:eastAsia="仿宋_GB2312" w:hAnsi="Times New Roman" w:cs="Times New Roman" w:hint="eastAsia"/>
          <w:sz w:val="26"/>
          <w:szCs w:val="26"/>
        </w:rPr>
        <w:t>是指科研平台面向全校或更</w:t>
      </w:r>
      <w:r w:rsidR="00080F09">
        <w:rPr>
          <w:rFonts w:ascii="Times New Roman" w:eastAsia="仿宋_GB2312" w:hAnsi="Times New Roman" w:cs="Times New Roman" w:hint="eastAsia"/>
          <w:sz w:val="26"/>
          <w:szCs w:val="26"/>
        </w:rPr>
        <w:t>广范围开展的正式学术会议之外的其他学术活动，如沙龙、论坛等。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391031">
      <w:pPr>
        <w:adjustRightInd w:val="0"/>
        <w:snapToGrid w:val="0"/>
        <w:spacing w:afterLines="20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774AB5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科研平台</w:t>
            </w:r>
            <w:r w:rsidR="00A53FCB"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774AB5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科研平台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774AB5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科研平台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  <w:r w:rsidR="00912C7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6"/>
              </w:rPr>
              <w:t>（或工程）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912C74" w:rsidRPr="00D21349" w:rsidTr="00912C74">
        <w:trPr>
          <w:trHeight w:val="591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</w:tcBorders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912C74" w:rsidRPr="00D21349" w:rsidRDefault="00912C74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912C74" w:rsidRPr="00D21349" w:rsidTr="00912C74">
        <w:trPr>
          <w:trHeight w:val="462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bottom w:val="single" w:sz="2" w:space="0" w:color="auto"/>
            </w:tcBorders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国防经费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国际合作经费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2C74" w:rsidRPr="00D21349" w:rsidRDefault="00912C74" w:rsidP="00367ECA">
            <w:pPr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774AB5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科研平台</w:t>
            </w:r>
            <w:r w:rsidR="00367ECA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774AB5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科研平台</w:t>
            </w:r>
            <w:r w:rsidR="00367ECA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912C74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各类教研项目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912C74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774AB5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科研平台</w:t>
            </w:r>
            <w:r w:rsidR="00367ECA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774AB5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科研平台</w:t>
            </w:r>
            <w:r w:rsidR="00367ECA"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91031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自主学术活动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91031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3"/>
                <w:szCs w:val="20"/>
              </w:rPr>
              <w:t>次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91031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其中，学术沙龙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91031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 w:hint="eastAsia"/>
          <w:b/>
          <w:sz w:val="28"/>
          <w:szCs w:val="24"/>
        </w:rPr>
      </w:pPr>
    </w:p>
    <w:p w:rsidR="00902B35" w:rsidRPr="00902B35" w:rsidRDefault="00902B35" w:rsidP="00902B35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 w:hint="eastAsia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请选择本年度内主要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论文或专著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填写以下信息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>
        <w:rPr>
          <w:rFonts w:ascii="宋体" w:eastAsia="宋体" w:hAnsi="宋体" w:cs="宋体" w:hint="eastAsia"/>
          <w:sz w:val="28"/>
          <w:szCs w:val="24"/>
        </w:rPr>
        <w:t>20项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493"/>
        <w:gridCol w:w="901"/>
        <w:gridCol w:w="899"/>
        <w:gridCol w:w="1195"/>
        <w:gridCol w:w="1202"/>
        <w:gridCol w:w="2139"/>
      </w:tblGrid>
      <w:tr w:rsidR="00902B35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399" w:type="dxa"/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论文或专著名称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完成情况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作者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收录类型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卷、期、页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出版年份</w:t>
            </w:r>
          </w:p>
        </w:tc>
      </w:tr>
      <w:tr w:rsidR="00902B35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399" w:type="dxa"/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02B35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399" w:type="dxa"/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02B35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399" w:type="dxa"/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902B35" w:rsidRPr="00DE3598" w:rsidRDefault="00902B35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p w:rsidR="00902B35" w:rsidRDefault="00902B35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 w:hint="eastAsia"/>
          <w:b/>
          <w:sz w:val="28"/>
          <w:szCs w:val="24"/>
        </w:rPr>
      </w:pPr>
    </w:p>
    <w:p w:rsidR="0026173D" w:rsidRPr="0026173D" w:rsidRDefault="0026173D" w:rsidP="0026173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 w:hint="eastAsia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请选择本年度内主要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发明专利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填写以下信息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>
        <w:rPr>
          <w:rFonts w:ascii="宋体" w:eastAsia="宋体" w:hAnsi="宋体" w:cs="宋体" w:hint="eastAsia"/>
          <w:sz w:val="28"/>
          <w:szCs w:val="24"/>
        </w:rPr>
        <w:t>10项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029"/>
        <w:gridCol w:w="1365"/>
        <w:gridCol w:w="2094"/>
        <w:gridCol w:w="1202"/>
        <w:gridCol w:w="2139"/>
      </w:tblGrid>
      <w:tr w:rsidR="0026173D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编号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完成情况（是否独立完成）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完成人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授权日</w:t>
            </w:r>
          </w:p>
        </w:tc>
      </w:tr>
      <w:tr w:rsidR="0026173D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26173D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26173D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6173D" w:rsidRPr="00DE3598" w:rsidRDefault="0026173D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p w:rsidR="00D20242" w:rsidRDefault="00D20242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 w:hint="eastAsia"/>
          <w:b/>
          <w:sz w:val="28"/>
          <w:szCs w:val="24"/>
        </w:rPr>
      </w:pPr>
    </w:p>
    <w:p w:rsidR="00F9452C" w:rsidRPr="00F9452C" w:rsidRDefault="00F9452C" w:rsidP="00F9452C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 w:hint="eastAsia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请选择本年度内主要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科技奖励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填写以下信息</w:t>
      </w:r>
      <w:r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 w:rsidR="003D2666">
        <w:rPr>
          <w:rFonts w:ascii="宋体" w:eastAsia="宋体" w:hAnsi="宋体" w:cs="宋体" w:hint="eastAsia"/>
          <w:sz w:val="28"/>
          <w:szCs w:val="24"/>
        </w:rPr>
        <w:t>5</w:t>
      </w:r>
      <w:r>
        <w:rPr>
          <w:rFonts w:ascii="宋体" w:eastAsia="宋体" w:hAnsi="宋体" w:cs="宋体" w:hint="eastAsia"/>
          <w:sz w:val="28"/>
          <w:szCs w:val="24"/>
        </w:rPr>
        <w:t>项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8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029"/>
        <w:gridCol w:w="1365"/>
        <w:gridCol w:w="2094"/>
        <w:gridCol w:w="1202"/>
        <w:gridCol w:w="2139"/>
      </w:tblGrid>
      <w:tr w:rsidR="00F9452C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奖励</w:t>
            </w: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编号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完成人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 w:rsidRPr="00DE3598">
              <w:rPr>
                <w:rFonts w:ascii="楷体_GB2312" w:eastAsia="楷体_GB2312" w:hAnsi="宋体" w:hint="eastAsia"/>
                <w:sz w:val="28"/>
                <w:szCs w:val="28"/>
              </w:rPr>
              <w:t>简介</w:t>
            </w:r>
          </w:p>
        </w:tc>
      </w:tr>
      <w:tr w:rsidR="00F9452C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F9452C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F9452C" w:rsidRPr="00DE3598" w:rsidTr="00FF5D23">
        <w:tc>
          <w:tcPr>
            <w:tcW w:w="65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F9452C" w:rsidRPr="00DE3598" w:rsidRDefault="00F9452C" w:rsidP="00FF5D23">
            <w:pPr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</w:tbl>
    <w:p w:rsidR="00F9452C" w:rsidRDefault="00F9452C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 w:hint="eastAsia"/>
          <w:b/>
          <w:sz w:val="28"/>
          <w:szCs w:val="24"/>
        </w:rPr>
      </w:pPr>
    </w:p>
    <w:p w:rsidR="00902B35" w:rsidRDefault="00902B35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概述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</w:t>
      </w:r>
      <w:r w:rsidR="002F2BA4">
        <w:rPr>
          <w:rFonts w:ascii="Times New Roman" w:eastAsia="楷体_GB2312" w:hAnsi="Times New Roman" w:cs="Times New Roman" w:hint="eastAsia"/>
          <w:sz w:val="28"/>
          <w:szCs w:val="24"/>
        </w:rPr>
        <w:t>，不超过</w:t>
      </w:r>
      <w:r w:rsidR="002F2BA4">
        <w:rPr>
          <w:rFonts w:ascii="宋体" w:eastAsia="宋体" w:hAnsi="宋体" w:cs="宋体" w:hint="eastAsia"/>
          <w:sz w:val="28"/>
          <w:szCs w:val="24"/>
        </w:rPr>
        <w:t>10项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/>
      </w:tblPr>
      <w:tblGrid>
        <w:gridCol w:w="612"/>
        <w:gridCol w:w="2242"/>
        <w:gridCol w:w="1120"/>
        <w:gridCol w:w="1120"/>
        <w:gridCol w:w="1174"/>
        <w:gridCol w:w="1251"/>
        <w:gridCol w:w="877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="002F2BA4">
        <w:rPr>
          <w:rFonts w:ascii="Times New Roman" w:eastAsia="楷体_GB2312" w:hAnsi="Times New Roman" w:cs="Times New Roman" w:hint="eastAsia"/>
          <w:szCs w:val="24"/>
        </w:rPr>
        <w:t>国家重点研发计划</w:t>
      </w:r>
      <w:r w:rsidRPr="00D21349">
        <w:rPr>
          <w:rFonts w:ascii="Times New Roman" w:eastAsia="楷体_GB2312" w:hAnsi="Times New Roman" w:cs="Times New Roman"/>
          <w:szCs w:val="24"/>
        </w:rPr>
        <w:t>、国家自然科学基金（面上、重点和重大、创</w:t>
      </w:r>
      <w:r w:rsidR="002F2BA4">
        <w:rPr>
          <w:rFonts w:ascii="Times New Roman" w:eastAsia="楷体_GB2312" w:hAnsi="Times New Roman" w:cs="Times New Roman"/>
          <w:szCs w:val="24"/>
        </w:rPr>
        <w:t>新研究群体计划、杰出青年基金、重大科研计划）、</w:t>
      </w:r>
      <w:r w:rsidRPr="00D21349">
        <w:rPr>
          <w:rFonts w:ascii="Times New Roman" w:eastAsia="楷体_GB2312" w:hAnsi="Times New Roman" w:cs="Times New Roman"/>
          <w:szCs w:val="24"/>
        </w:rPr>
        <w:t>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</w:t>
      </w:r>
      <w:r w:rsidR="00774AB5"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b"/>
        <w:tblW w:w="5000" w:type="pct"/>
        <w:jc w:val="center"/>
        <w:tblLook w:val="04A0"/>
      </w:tblPr>
      <w:tblGrid>
        <w:gridCol w:w="3927"/>
        <w:gridCol w:w="1944"/>
        <w:gridCol w:w="265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/>
      </w:tblPr>
      <w:tblGrid>
        <w:gridCol w:w="721"/>
        <w:gridCol w:w="1160"/>
        <w:gridCol w:w="1011"/>
        <w:gridCol w:w="628"/>
        <w:gridCol w:w="1256"/>
        <w:gridCol w:w="1014"/>
        <w:gridCol w:w="761"/>
        <w:gridCol w:w="184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</w:t>
            </w:r>
            <w:r w:rsidR="00774AB5">
              <w:rPr>
                <w:rFonts w:ascii="Times New Roman" w:eastAsia="黑体" w:hAnsi="Times New Roman" w:cs="Times New Roman"/>
                <w:b/>
                <w:szCs w:val="21"/>
              </w:rPr>
              <w:t>科研平台</w:t>
            </w: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="00774AB5"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</w:t>
      </w:r>
      <w:r w:rsidR="00774AB5"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2"/>
        <w:gridCol w:w="1005"/>
        <w:gridCol w:w="600"/>
        <w:gridCol w:w="600"/>
        <w:gridCol w:w="679"/>
        <w:gridCol w:w="861"/>
        <w:gridCol w:w="783"/>
        <w:gridCol w:w="1813"/>
        <w:gridCol w:w="1050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</w:t>
            </w:r>
            <w:r w:rsidR="00774AB5">
              <w:rPr>
                <w:rFonts w:ascii="Times New Roman" w:eastAsia="黑体" w:hAnsi="Times New Roman" w:cs="Times New Roman"/>
                <w:b/>
                <w:szCs w:val="21"/>
              </w:rPr>
              <w:t>科研平台</w:t>
            </w: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="00774AB5"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="00774AB5">
        <w:rPr>
          <w:rFonts w:ascii="Times New Roman" w:eastAsia="楷体_GB2312" w:hAnsi="Times New Roman" w:cs="Times New Roman"/>
          <w:szCs w:val="24"/>
        </w:rPr>
        <w:t>科研平台</w:t>
      </w:r>
      <w:r w:rsidRPr="00D21349">
        <w:rPr>
          <w:rFonts w:ascii="Times New Roman" w:eastAsia="楷体_GB2312" w:hAnsi="Times New Roman" w:cs="Times New Roman"/>
          <w:szCs w:val="24"/>
        </w:rPr>
        <w:t>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391031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391031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简要介绍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人员承担</w:t>
            </w:r>
            <w:r w:rsidR="00912C74">
              <w:rPr>
                <w:rFonts w:ascii="Times New Roman" w:eastAsia="楷体_GB2312" w:hAnsi="Times New Roman" w:cs="Times New Roman"/>
                <w:sz w:val="24"/>
                <w:szCs w:val="24"/>
              </w:rPr>
              <w:t>依托学院（研究院、部、所等）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391031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391031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</w:t>
            </w:r>
            <w:proofErr w:type="gramStart"/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平台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平台</w:t>
            </w:r>
            <w:proofErr w:type="gramEnd"/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/>
      </w:tblPr>
      <w:tblGrid>
        <w:gridCol w:w="567"/>
        <w:gridCol w:w="1673"/>
        <w:gridCol w:w="1031"/>
        <w:gridCol w:w="1139"/>
        <w:gridCol w:w="3099"/>
        <w:gridCol w:w="831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</w:t>
      </w:r>
      <w:r w:rsidR="00774AB5">
        <w:rPr>
          <w:rFonts w:ascii="Times New Roman" w:eastAsia="黑体" w:hAnsi="Times New Roman" w:cs="Times New Roman"/>
          <w:b/>
          <w:szCs w:val="24"/>
        </w:rPr>
        <w:t>科研平台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  <w:r w:rsidR="002F2BA4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（列举</w:t>
      </w:r>
      <w:r w:rsidR="002F2BA4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5</w:t>
      </w:r>
      <w:r w:rsidR="002F2BA4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项以内）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581"/>
        <w:gridCol w:w="1101"/>
        <w:gridCol w:w="1012"/>
        <w:gridCol w:w="1301"/>
        <w:gridCol w:w="1787"/>
        <w:gridCol w:w="1458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391031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在本年度内设置开放课题概况</w:t>
            </w:r>
            <w:r w:rsidR="002F2BA4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，若没有，可填无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  <w:r w:rsidR="002F2BA4">
        <w:rPr>
          <w:rFonts w:ascii="Times New Roman" w:eastAsia="黑体" w:hAnsi="Times New Roman" w:cs="Times New Roman" w:hint="eastAsia"/>
          <w:b/>
          <w:sz w:val="24"/>
          <w:szCs w:val="24"/>
        </w:rPr>
        <w:t>（列举</w:t>
      </w:r>
      <w:r w:rsidR="002F2BA4">
        <w:rPr>
          <w:rFonts w:ascii="Times New Roman" w:eastAsia="黑体" w:hAnsi="Times New Roman" w:cs="Times New Roman" w:hint="eastAsia"/>
          <w:b/>
          <w:sz w:val="24"/>
          <w:szCs w:val="24"/>
        </w:rPr>
        <w:t>5</w:t>
      </w:r>
      <w:r w:rsidR="002F2BA4">
        <w:rPr>
          <w:rFonts w:ascii="Times New Roman" w:eastAsia="黑体" w:hAnsi="Times New Roman" w:cs="Times New Roman" w:hint="eastAsia"/>
          <w:b/>
          <w:sz w:val="24"/>
          <w:szCs w:val="24"/>
        </w:rPr>
        <w:t>项以内）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/>
      </w:tblPr>
      <w:tblGrid>
        <w:gridCol w:w="565"/>
        <w:gridCol w:w="2300"/>
        <w:gridCol w:w="1701"/>
        <w:gridCol w:w="1021"/>
        <w:gridCol w:w="1021"/>
        <w:gridCol w:w="1021"/>
        <w:gridCol w:w="716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  <w:r w:rsidR="003B2520">
        <w:rPr>
          <w:rFonts w:ascii="Times New Roman" w:eastAsia="黑体" w:hAnsi="Times New Roman" w:cs="Times New Roman" w:hint="eastAsia"/>
          <w:b/>
          <w:sz w:val="24"/>
          <w:szCs w:val="24"/>
        </w:rPr>
        <w:t>与自主学术活动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简述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3B252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和自主学术活动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  <w:r w:rsidR="003B252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重点考核是否营造了良好的学术氛围。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</w:t>
      </w:r>
      <w:r w:rsidR="002F2BA4">
        <w:rPr>
          <w:rFonts w:ascii="Times New Roman" w:eastAsia="黑体" w:hAnsi="Times New Roman" w:cs="Times New Roman" w:hint="eastAsia"/>
          <w:b/>
          <w:sz w:val="24"/>
          <w:szCs w:val="24"/>
        </w:rPr>
        <w:t>（或工程）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1153"/>
        <w:gridCol w:w="721"/>
        <w:gridCol w:w="803"/>
        <w:gridCol w:w="670"/>
        <w:gridCol w:w="3353"/>
        <w:gridCol w:w="1155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</w:t>
      </w:r>
      <w:r w:rsidR="002F2BA4">
        <w:rPr>
          <w:rFonts w:ascii="Times New Roman" w:eastAsia="黑体" w:hAnsi="Times New Roman" w:cs="Times New Roman" w:hint="eastAsia"/>
          <w:b/>
          <w:sz w:val="24"/>
          <w:szCs w:val="24"/>
        </w:rPr>
        <w:t>（或工程）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</w:t>
            </w:r>
            <w:r w:rsidR="002F2BA4">
              <w:rPr>
                <w:rFonts w:ascii="宋体" w:eastAsia="宋体" w:hAnsi="宋体" w:cs="宋体" w:hint="eastAsia"/>
                <w:sz w:val="24"/>
                <w:szCs w:val="24"/>
              </w:rPr>
              <w:t>（或工程）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="00F55754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2C74">
        <w:rPr>
          <w:rFonts w:ascii="Times New Roman" w:eastAsia="黑体" w:hAnsi="Times New Roman" w:cs="Times New Roman"/>
          <w:b/>
          <w:sz w:val="24"/>
          <w:szCs w:val="24"/>
        </w:rPr>
        <w:t>依托学院（研究院、部、所等）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</w:t>
            </w:r>
            <w:r w:rsidR="00912C74">
              <w:rPr>
                <w:rFonts w:ascii="Times New Roman" w:eastAsia="楷体_GB2312" w:hAnsi="Times New Roman" w:cs="Times New Roman"/>
                <w:sz w:val="24"/>
                <w:szCs w:val="24"/>
              </w:rPr>
              <w:t>依托学院（研究院、部、所等）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提供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8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391031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4326D1" w:rsidRPr="00D21349" w:rsidRDefault="004326D1" w:rsidP="004326D1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六</w:t>
      </w:r>
      <w:r>
        <w:rPr>
          <w:rFonts w:ascii="Times New Roman" w:eastAsia="黑体" w:hAnsi="Times New Roman" w:cs="Times New Roman"/>
          <w:b/>
          <w:bCs/>
          <w:sz w:val="32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t>亮点工作</w:t>
      </w:r>
    </w:p>
    <w:p w:rsidR="004326D1" w:rsidRPr="004326D1" w:rsidRDefault="004326D1" w:rsidP="004326D1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列举年度亮点工作</w:t>
      </w:r>
      <w:r>
        <w:rPr>
          <w:rFonts w:ascii="宋体" w:eastAsia="宋体" w:hAnsi="宋体" w:cs="宋体" w:hint="eastAsia"/>
          <w:sz w:val="24"/>
          <w:szCs w:val="24"/>
        </w:rPr>
        <w:t>3项，可以为重大研究突破、重大科技合作等，每项亮点工作不超过500字。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7"/>
      </w:tblGrid>
      <w:tr w:rsidR="004326D1" w:rsidRPr="00D21349" w:rsidTr="00FF5D23">
        <w:trPr>
          <w:trHeight w:val="2481"/>
          <w:jc w:val="center"/>
        </w:trPr>
        <w:tc>
          <w:tcPr>
            <w:tcW w:w="8217" w:type="dxa"/>
          </w:tcPr>
          <w:p w:rsidR="004326D1" w:rsidRPr="00080F09" w:rsidRDefault="004326D1" w:rsidP="004326D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Pr="00D21349" w:rsidRDefault="004326D1" w:rsidP="00FF5D23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Default="004326D1" w:rsidP="00FF5D23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Pr="00D21349" w:rsidRDefault="004326D1" w:rsidP="00FF5D23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Default="004326D1" w:rsidP="00FF5D23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Pr="009C78F4" w:rsidRDefault="004326D1" w:rsidP="00FF5D23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326D1" w:rsidRPr="00D21349" w:rsidRDefault="004326D1" w:rsidP="00FF5D23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4326D1" w:rsidRDefault="004326D1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 w:hint="eastAsia"/>
          <w:b/>
          <w:bCs/>
          <w:sz w:val="32"/>
          <w:szCs w:val="24"/>
        </w:rPr>
      </w:pPr>
    </w:p>
    <w:p w:rsidR="004326D1" w:rsidRDefault="004326D1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 w:hint="eastAsia"/>
          <w:b/>
          <w:bCs/>
          <w:sz w:val="32"/>
          <w:szCs w:val="24"/>
        </w:rPr>
      </w:pPr>
    </w:p>
    <w:p w:rsidR="00E42852" w:rsidRPr="00D21349" w:rsidRDefault="004326D1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4"/>
        </w:rPr>
        <w:t>七</w:t>
      </w:r>
      <w:r w:rsidR="00E42852"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774AB5">
        <w:rPr>
          <w:rFonts w:ascii="Times New Roman" w:eastAsia="黑体" w:hAnsi="Times New Roman" w:cs="Times New Roman" w:hint="eastAsia"/>
          <w:b/>
          <w:sz w:val="28"/>
          <w:szCs w:val="24"/>
        </w:rPr>
        <w:t>科研平台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774AB5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774AB5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F55754">
        <w:rPr>
          <w:rFonts w:ascii="Times New Roman" w:eastAsia="黑体" w:hAnsi="Times New Roman" w:cs="Times New Roman" w:hint="eastAsia"/>
          <w:b/>
          <w:sz w:val="28"/>
          <w:szCs w:val="24"/>
        </w:rPr>
        <w:t>依托学院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12C74" w:rsidP="00391031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依托学院（研究院、部、所等）</w:t>
            </w:r>
            <w:r w:rsidR="009C78F4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年度考核意见：</w:t>
            </w:r>
          </w:p>
          <w:p w:rsidR="009C78F4" w:rsidRPr="00D21349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</w:t>
            </w:r>
            <w:r w:rsidR="00774AB5">
              <w:rPr>
                <w:rFonts w:ascii="Times New Roman" w:eastAsia="楷体_GB2312" w:hAnsi="Times New Roman" w:cs="Times New Roman"/>
                <w:sz w:val="24"/>
                <w:szCs w:val="24"/>
              </w:rPr>
              <w:t>科研平台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的支持。）</w:t>
            </w: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12C7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依托学院（研究院、部、所等）</w:t>
            </w:r>
            <w:r w:rsidR="009C78F4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51" w:rsidRDefault="00FD2551">
      <w:r>
        <w:separator/>
      </w:r>
    </w:p>
  </w:endnote>
  <w:endnote w:type="continuationSeparator" w:id="0">
    <w:p w:rsidR="00FD2551" w:rsidRDefault="00FD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1" w:subsetted="1" w:fontKey="{89D53DB8-6548-4790-8F99-25E775BC7842}"/>
    <w:embedBold r:id="rId2" w:subsetted="1" w:fontKey="{A774C5D7-1EB3-4A53-ADE9-39033096F1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7CFDAD8-422C-489F-BC85-56DE3C18B96F}"/>
    <w:embedBold r:id="rId4" w:subsetted="1" w:fontKey="{52257063-4C1B-4973-99D3-5E384563ACF5}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  <w:embedRegular r:id="rId5" w:subsetted="1" w:fontKey="{FFB59F39-ABF6-47CD-9CE0-EF1129AF7DAA}"/>
    <w:embedBold r:id="rId6" w:subsetted="1" w:fontKey="{5F64FE08-8382-4A95-A232-7249FE775F15}"/>
  </w:font>
  <w:font w:name="___WRD_EMBED_SUB_38"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74" w:rsidRDefault="00912C74">
    <w:pPr>
      <w:pStyle w:val="a9"/>
      <w:jc w:val="center"/>
    </w:pPr>
  </w:p>
  <w:p w:rsidR="00912C74" w:rsidRDefault="00912C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51" w:rsidRDefault="00FD2551">
      <w:r>
        <w:separator/>
      </w:r>
    </w:p>
  </w:footnote>
  <w:footnote w:type="continuationSeparator" w:id="0">
    <w:p w:rsidR="00FD2551" w:rsidRDefault="00FD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52"/>
    <w:rsid w:val="00005385"/>
    <w:rsid w:val="00010869"/>
    <w:rsid w:val="00012EC5"/>
    <w:rsid w:val="00016095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0F09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173D"/>
    <w:rsid w:val="00266F4A"/>
    <w:rsid w:val="0027424A"/>
    <w:rsid w:val="002814DE"/>
    <w:rsid w:val="0028228B"/>
    <w:rsid w:val="002827AF"/>
    <w:rsid w:val="00283E29"/>
    <w:rsid w:val="002A5C15"/>
    <w:rsid w:val="002B512A"/>
    <w:rsid w:val="002D199A"/>
    <w:rsid w:val="002E2A26"/>
    <w:rsid w:val="002F0CF2"/>
    <w:rsid w:val="002F2BA4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1031"/>
    <w:rsid w:val="00392FD5"/>
    <w:rsid w:val="00394DEE"/>
    <w:rsid w:val="003A0F73"/>
    <w:rsid w:val="003A29B5"/>
    <w:rsid w:val="003B2504"/>
    <w:rsid w:val="003B2520"/>
    <w:rsid w:val="003C075F"/>
    <w:rsid w:val="003D2666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326D1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4A28"/>
    <w:rsid w:val="00737FF0"/>
    <w:rsid w:val="007442AC"/>
    <w:rsid w:val="007524E8"/>
    <w:rsid w:val="00755656"/>
    <w:rsid w:val="00757089"/>
    <w:rsid w:val="00761930"/>
    <w:rsid w:val="0076361D"/>
    <w:rsid w:val="007748B7"/>
    <w:rsid w:val="00774AB5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1370A"/>
    <w:rsid w:val="008228BC"/>
    <w:rsid w:val="00825560"/>
    <w:rsid w:val="00826653"/>
    <w:rsid w:val="00831035"/>
    <w:rsid w:val="00835C86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2B35"/>
    <w:rsid w:val="009039A0"/>
    <w:rsid w:val="00905933"/>
    <w:rsid w:val="00912C74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915F2"/>
    <w:rsid w:val="00A94752"/>
    <w:rsid w:val="00A962FD"/>
    <w:rsid w:val="00AA21DC"/>
    <w:rsid w:val="00AA4696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17F9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343FD"/>
    <w:rsid w:val="00C47308"/>
    <w:rsid w:val="00C47DDD"/>
    <w:rsid w:val="00C634A7"/>
    <w:rsid w:val="00C66CA6"/>
    <w:rsid w:val="00C70F13"/>
    <w:rsid w:val="00C72BF7"/>
    <w:rsid w:val="00C8052D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0242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50FA2"/>
    <w:rsid w:val="00F5155E"/>
    <w:rsid w:val="00F55754"/>
    <w:rsid w:val="00F57125"/>
    <w:rsid w:val="00F70E8D"/>
    <w:rsid w:val="00F77273"/>
    <w:rsid w:val="00F82748"/>
    <w:rsid w:val="00F87143"/>
    <w:rsid w:val="00F91C71"/>
    <w:rsid w:val="00F93E73"/>
    <w:rsid w:val="00F9452C"/>
    <w:rsid w:val="00FA52E5"/>
    <w:rsid w:val="00FA68E0"/>
    <w:rsid w:val="00FB2D2B"/>
    <w:rsid w:val="00FB44DF"/>
    <w:rsid w:val="00FB679A"/>
    <w:rsid w:val="00FC00FF"/>
    <w:rsid w:val="00FC339A"/>
    <w:rsid w:val="00FC4CA5"/>
    <w:rsid w:val="00FD2551"/>
    <w:rsid w:val="00FD274D"/>
    <w:rsid w:val="00FD4EF5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Char"/>
    <w:rsid w:val="00E42852"/>
    <w:rPr>
      <w:rFonts w:ascii="宋体" w:eastAsia="宋体" w:hAnsi="Courier New" w:cs="楷体_GB2312"/>
      <w:szCs w:val="21"/>
    </w:rPr>
  </w:style>
  <w:style w:type="character" w:customStyle="1" w:styleId="Char">
    <w:name w:val="纯文本 Char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0">
    <w:name w:val="正文文本缩进 Char"/>
    <w:basedOn w:val="a0"/>
    <w:link w:val="a4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"/>
    <w:basedOn w:val="a"/>
    <w:link w:val="Char1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Char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7">
    <w:name w:val="header"/>
    <w:basedOn w:val="a"/>
    <w:link w:val="Char2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Char2">
    <w:name w:val="页眉 Char"/>
    <w:link w:val="a7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脚 字符"/>
    <w:basedOn w:val="a0"/>
    <w:uiPriority w:val="99"/>
    <w:rsid w:val="00E42852"/>
    <w:rPr>
      <w:sz w:val="18"/>
      <w:szCs w:val="18"/>
    </w:rPr>
  </w:style>
  <w:style w:type="character" w:customStyle="1" w:styleId="Char3">
    <w:name w:val="页脚 Char"/>
    <w:link w:val="a9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Char1">
    <w:name w:val="正文文本 Char"/>
    <w:link w:val="a5"/>
    <w:rsid w:val="00E42852"/>
    <w:rPr>
      <w:rFonts w:ascii="Times New Roman" w:eastAsia="宋体" w:hAnsi="Times New Roman" w:cs="Times New Roman"/>
      <w:kern w:val="0"/>
      <w:szCs w:val="20"/>
    </w:rPr>
  </w:style>
  <w:style w:type="table" w:styleId="ab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Char4">
    <w:name w:val="批注框文本 Char"/>
    <w:link w:val="ac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9C7BF7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9C7BF7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9C7BF7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9C7BF7"/>
    <w:rPr>
      <w:b/>
      <w:bCs/>
    </w:rPr>
  </w:style>
  <w:style w:type="paragraph" w:styleId="af2">
    <w:name w:val="No Spacing"/>
    <w:uiPriority w:val="1"/>
    <w:qFormat/>
    <w:rsid w:val="00F3493D"/>
    <w:pPr>
      <w:widowControl w:val="0"/>
      <w:jc w:val="both"/>
    </w:pPr>
  </w:style>
  <w:style w:type="paragraph" w:styleId="af3">
    <w:name w:val="footnote text"/>
    <w:basedOn w:val="a"/>
    <w:link w:val="Char7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0"/>
    <w:link w:val="af3"/>
    <w:uiPriority w:val="99"/>
    <w:semiHidden/>
    <w:rsid w:val="00755656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2C89-02A4-4A3F-9A7E-6D7ABD1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725</Words>
  <Characters>4138</Characters>
  <Application>Microsoft Office Word</Application>
  <DocSecurity>0</DocSecurity>
  <Lines>34</Lines>
  <Paragraphs>9</Paragraphs>
  <ScaleCrop>false</ScaleCrop>
  <Company>sdu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weiying</cp:lastModifiedBy>
  <cp:revision>11</cp:revision>
  <cp:lastPrinted>2016-01-18T05:26:00Z</cp:lastPrinted>
  <dcterms:created xsi:type="dcterms:W3CDTF">2018-04-21T06:03:00Z</dcterms:created>
  <dcterms:modified xsi:type="dcterms:W3CDTF">2018-04-21T06:31:00Z</dcterms:modified>
</cp:coreProperties>
</file>